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6DD5BA" w14:textId="77777777" w:rsidR="00B93977" w:rsidRPr="00723E56" w:rsidRDefault="00B93977" w:rsidP="006A2F42">
      <w:pPr>
        <w:autoSpaceDE w:val="0"/>
        <w:autoSpaceDN w:val="0"/>
        <w:adjustRightInd w:val="0"/>
        <w:jc w:val="both"/>
        <w:rPr>
          <w:rFonts w:cstheme="minorHAnsi"/>
        </w:rPr>
      </w:pPr>
    </w:p>
    <w:p w14:paraId="1CF07672" w14:textId="38124B7E" w:rsidR="003E496D" w:rsidRPr="004A5E40" w:rsidRDefault="003E496D" w:rsidP="006A2F42">
      <w:pPr>
        <w:autoSpaceDE w:val="0"/>
        <w:autoSpaceDN w:val="0"/>
        <w:adjustRightInd w:val="0"/>
        <w:jc w:val="both"/>
        <w:rPr>
          <w:rFonts w:cstheme="minorHAnsi"/>
          <w:b/>
          <w:bCs/>
          <w:i/>
          <w:iCs/>
          <w:color w:val="FF0000"/>
        </w:rPr>
      </w:pPr>
      <w:r w:rsidRPr="004A5E40">
        <w:rPr>
          <w:rFonts w:cstheme="minorHAnsi"/>
          <w:b/>
          <w:bCs/>
          <w:i/>
          <w:iCs/>
          <w:color w:val="FF0000"/>
        </w:rPr>
        <w:t>PRESS RELEASE</w:t>
      </w:r>
      <w:r w:rsidR="00B93977" w:rsidRPr="004A5E40">
        <w:rPr>
          <w:rFonts w:cstheme="minorHAnsi"/>
          <w:b/>
          <w:bCs/>
          <w:i/>
          <w:iCs/>
          <w:color w:val="FF0000"/>
        </w:rPr>
        <w:t xml:space="preserve"> </w:t>
      </w:r>
      <w:r w:rsidR="00FF1316" w:rsidRPr="004A5E40">
        <w:rPr>
          <w:rFonts w:cstheme="minorHAnsi"/>
          <w:b/>
          <w:bCs/>
          <w:i/>
          <w:iCs/>
          <w:color w:val="FF0000"/>
        </w:rPr>
        <w:t>–</w:t>
      </w:r>
      <w:r w:rsidRPr="004A5E40">
        <w:rPr>
          <w:rFonts w:cstheme="minorHAnsi"/>
          <w:b/>
          <w:bCs/>
          <w:i/>
          <w:iCs/>
          <w:color w:val="FF0000"/>
        </w:rPr>
        <w:t xml:space="preserve"> </w:t>
      </w:r>
      <w:r w:rsidR="00FF1316" w:rsidRPr="004A5E40">
        <w:rPr>
          <w:rFonts w:cstheme="minorHAnsi"/>
          <w:b/>
          <w:bCs/>
          <w:i/>
          <w:iCs/>
          <w:color w:val="FF0000"/>
        </w:rPr>
        <w:t xml:space="preserve">Embargoed until </w:t>
      </w:r>
      <w:r w:rsidR="004A5E40" w:rsidRPr="004A5E40">
        <w:rPr>
          <w:rFonts w:cstheme="minorHAnsi"/>
          <w:b/>
          <w:bCs/>
          <w:i/>
          <w:iCs/>
          <w:color w:val="FF0000"/>
        </w:rPr>
        <w:t>09.00</w:t>
      </w:r>
      <w:r w:rsidR="00FF1316" w:rsidRPr="004A5E40">
        <w:rPr>
          <w:rFonts w:cstheme="minorHAnsi"/>
          <w:b/>
          <w:bCs/>
          <w:i/>
          <w:iCs/>
          <w:color w:val="FF0000"/>
        </w:rPr>
        <w:t xml:space="preserve"> on </w:t>
      </w:r>
      <w:r w:rsidR="004A5E40" w:rsidRPr="004A5E40">
        <w:rPr>
          <w:rFonts w:cstheme="minorHAnsi"/>
          <w:b/>
          <w:bCs/>
          <w:i/>
          <w:iCs/>
          <w:color w:val="FF0000"/>
        </w:rPr>
        <w:t>21 March 2024</w:t>
      </w:r>
    </w:p>
    <w:p w14:paraId="40365415" w14:textId="7F448E8E" w:rsidR="007145FB" w:rsidRPr="00723E56" w:rsidRDefault="007145FB" w:rsidP="006A2F42">
      <w:pPr>
        <w:autoSpaceDE w:val="0"/>
        <w:autoSpaceDN w:val="0"/>
        <w:adjustRightInd w:val="0"/>
        <w:jc w:val="both"/>
        <w:rPr>
          <w:rFonts w:cstheme="minorHAnsi"/>
        </w:rPr>
      </w:pPr>
    </w:p>
    <w:p w14:paraId="7D92B126" w14:textId="2179119E" w:rsidR="00DC210D" w:rsidRPr="00723E56" w:rsidRDefault="00FF1316" w:rsidP="00213C11">
      <w:pPr>
        <w:shd w:val="clear" w:color="auto" w:fill="FFFFFF"/>
        <w:spacing w:before="100" w:beforeAutospacing="1" w:after="100" w:afterAutospacing="1"/>
        <w:rPr>
          <w:rFonts w:cstheme="minorHAnsi"/>
          <w:lang w:val="en-US"/>
        </w:rPr>
      </w:pPr>
      <w:r w:rsidRPr="00723E56">
        <w:rPr>
          <w:rFonts w:cstheme="minorHAnsi"/>
          <w:b/>
          <w:sz w:val="28"/>
        </w:rPr>
        <w:t>New UCL</w:t>
      </w:r>
      <w:r w:rsidR="00723E56" w:rsidRPr="00723E56">
        <w:rPr>
          <w:rFonts w:cstheme="minorHAnsi"/>
          <w:b/>
          <w:sz w:val="28"/>
        </w:rPr>
        <w:t xml:space="preserve"> &amp; </w:t>
      </w:r>
      <w:r w:rsidRPr="00723E56">
        <w:rPr>
          <w:rFonts w:cstheme="minorHAnsi"/>
          <w:b/>
          <w:sz w:val="28"/>
        </w:rPr>
        <w:t>FLEX study highlights risks and protective factors for exploitation of Ukrainians seeking safety in the UK.</w:t>
      </w:r>
    </w:p>
    <w:p w14:paraId="07604C73" w14:textId="77777777" w:rsidR="00983FCF" w:rsidRPr="00723E56" w:rsidRDefault="00983FCF" w:rsidP="006A2F42">
      <w:pPr>
        <w:autoSpaceDE w:val="0"/>
        <w:autoSpaceDN w:val="0"/>
        <w:adjustRightInd w:val="0"/>
        <w:jc w:val="both"/>
        <w:rPr>
          <w:rFonts w:cstheme="minorHAnsi"/>
        </w:rPr>
      </w:pPr>
    </w:p>
    <w:p w14:paraId="3C52F9A7" w14:textId="5C6DFECC" w:rsidR="003766E5" w:rsidRPr="00723E56" w:rsidRDefault="00DC210D" w:rsidP="00DC210D">
      <w:pPr>
        <w:jc w:val="both"/>
        <w:rPr>
          <w:rFonts w:cstheme="minorHAnsi"/>
        </w:rPr>
      </w:pPr>
      <w:r w:rsidRPr="00723E56">
        <w:rPr>
          <w:rFonts w:cstheme="minorHAnsi"/>
        </w:rPr>
        <w:t>The Westminster Government’s response to Ukrainian refugees</w:t>
      </w:r>
      <w:r w:rsidR="003766E5" w:rsidRPr="00723E56">
        <w:rPr>
          <w:rFonts w:cstheme="minorHAnsi"/>
        </w:rPr>
        <w:t xml:space="preserve"> </w:t>
      </w:r>
      <w:r w:rsidRPr="00723E56">
        <w:rPr>
          <w:rFonts w:cstheme="minorHAnsi"/>
        </w:rPr>
        <w:t>contrasts sharply with its increasingly punitive approach to refugees and asylum seekers at large</w:t>
      </w:r>
      <w:r w:rsidR="00E4189E" w:rsidRPr="00723E56">
        <w:rPr>
          <w:rFonts w:cstheme="minorHAnsi"/>
        </w:rPr>
        <w:t xml:space="preserve">. </w:t>
      </w:r>
      <w:r w:rsidR="003766E5" w:rsidRPr="00723E56">
        <w:rPr>
          <w:rFonts w:cstheme="minorHAnsi"/>
        </w:rPr>
        <w:t>Nevertheless, even t</w:t>
      </w:r>
      <w:r w:rsidRPr="00723E56">
        <w:rPr>
          <w:rFonts w:cstheme="minorHAnsi"/>
        </w:rPr>
        <w:t>he Ukraine Schemes themselves have been suddenly and dramatically restricted as of February 2024</w:t>
      </w:r>
      <w:r w:rsidR="003766E5" w:rsidRPr="00723E56">
        <w:rPr>
          <w:rFonts w:cstheme="minorHAnsi"/>
        </w:rPr>
        <w:t>, as the Government seeks to cut migration numbers.</w:t>
      </w:r>
    </w:p>
    <w:p w14:paraId="7D5435A2" w14:textId="77777777" w:rsidR="003766E5" w:rsidRPr="00723E56" w:rsidRDefault="003766E5" w:rsidP="00DC210D">
      <w:pPr>
        <w:jc w:val="both"/>
        <w:rPr>
          <w:rFonts w:cstheme="minorHAnsi"/>
        </w:rPr>
      </w:pPr>
    </w:p>
    <w:p w14:paraId="270ED807" w14:textId="09BCF987" w:rsidR="005B3D1E" w:rsidRPr="00723E56" w:rsidRDefault="005B3D1E" w:rsidP="005B3D1E">
      <w:pPr>
        <w:jc w:val="both"/>
        <w:rPr>
          <w:rFonts w:cstheme="minorHAnsi"/>
        </w:rPr>
      </w:pPr>
      <w:r w:rsidRPr="00723E56">
        <w:rPr>
          <w:rFonts w:cstheme="minorHAnsi"/>
          <w:lang w:eastAsia="es-ES"/>
        </w:rPr>
        <w:t xml:space="preserve">This new joint academic and NGO report looks </w:t>
      </w:r>
      <w:r w:rsidR="003766E5" w:rsidRPr="00723E56">
        <w:rPr>
          <w:rFonts w:cstheme="minorHAnsi"/>
          <w:lang w:eastAsia="es-ES"/>
        </w:rPr>
        <w:t>back on the implementation of the UK’s Ukraine humanitarian visa schemes</w:t>
      </w:r>
      <w:r w:rsidRPr="00723E56">
        <w:rPr>
          <w:rFonts w:cstheme="minorHAnsi"/>
          <w:lang w:eastAsia="es-ES"/>
        </w:rPr>
        <w:t xml:space="preserve">. </w:t>
      </w:r>
      <w:r w:rsidRPr="00723E56">
        <w:rPr>
          <w:rFonts w:cstheme="minorHAnsi"/>
          <w:shd w:val="clear" w:color="auto" w:fill="FFFFFF"/>
        </w:rPr>
        <w:t>This report</w:t>
      </w:r>
      <w:r w:rsidR="004A5E40">
        <w:rPr>
          <w:rFonts w:cstheme="minorHAnsi"/>
          <w:shd w:val="clear" w:color="auto" w:fill="FFFFFF"/>
        </w:rPr>
        <w:t>, published a year after the ‘Homes for Ukraine’ Scheme was launched,</w:t>
      </w:r>
      <w:r w:rsidRPr="00723E56">
        <w:rPr>
          <w:rFonts w:cstheme="minorHAnsi"/>
          <w:shd w:val="clear" w:color="auto" w:fill="FFFFFF"/>
        </w:rPr>
        <w:t xml:space="preserve"> focuses on local responses, </w:t>
      </w:r>
      <w:r w:rsidRPr="00723E56">
        <w:rPr>
          <w:rFonts w:cstheme="minorHAnsi"/>
          <w:lang w:eastAsia="es-ES"/>
        </w:rPr>
        <w:t xml:space="preserve">based on </w:t>
      </w:r>
      <w:r w:rsidRPr="00723E56">
        <w:rPr>
          <w:rFonts w:cstheme="minorHAnsi"/>
        </w:rPr>
        <w:t xml:space="preserve">26 in-depth interviews </w:t>
      </w:r>
      <w:r w:rsidRPr="00723E56">
        <w:rPr>
          <w:rFonts w:cstheme="minorHAnsi"/>
          <w:lang w:eastAsia="es-ES"/>
        </w:rPr>
        <w:t xml:space="preserve">with </w:t>
      </w:r>
      <w:r w:rsidRPr="00723E56">
        <w:rPr>
          <w:rFonts w:cstheme="minorHAnsi"/>
        </w:rPr>
        <w:t xml:space="preserve">representatives from Local Authorities, Strategic Migration </w:t>
      </w:r>
      <w:proofErr w:type="gramStart"/>
      <w:r w:rsidRPr="00723E56">
        <w:rPr>
          <w:rFonts w:cstheme="minorHAnsi"/>
        </w:rPr>
        <w:t>Partnerships</w:t>
      </w:r>
      <w:proofErr w:type="gramEnd"/>
      <w:r w:rsidRPr="00723E56">
        <w:rPr>
          <w:rFonts w:cstheme="minorHAnsi"/>
        </w:rPr>
        <w:t xml:space="preserve"> and civil society organisations. It </w:t>
      </w:r>
      <w:r w:rsidRPr="00723E56">
        <w:rPr>
          <w:rFonts w:cstheme="minorHAnsi"/>
          <w:shd w:val="clear" w:color="auto" w:fill="FFFFFF"/>
        </w:rPr>
        <w:t xml:space="preserve">examines Local Authorities' responses to supporting displaced </w:t>
      </w:r>
      <w:r w:rsidRPr="00723E56">
        <w:rPr>
          <w:rFonts w:cstheme="minorHAnsi"/>
        </w:rPr>
        <w:t xml:space="preserve">Ukrainians in the UK </w:t>
      </w:r>
      <w:r w:rsidRPr="00723E56">
        <w:rPr>
          <w:rFonts w:cstheme="minorHAnsi"/>
          <w:shd w:val="clear" w:color="auto" w:fill="FFFFFF"/>
        </w:rPr>
        <w:t xml:space="preserve">and how they were managing risks of trafficking and other exploitation across the various </w:t>
      </w:r>
      <w:r w:rsidRPr="00723E56">
        <w:rPr>
          <w:rFonts w:cstheme="minorHAnsi"/>
          <w:i/>
          <w:iCs/>
          <w:shd w:val="clear" w:color="auto" w:fill="FFFFFF"/>
        </w:rPr>
        <w:t>Ukraine Schemes</w:t>
      </w:r>
      <w:r w:rsidRPr="00723E56">
        <w:rPr>
          <w:rFonts w:cstheme="minorHAnsi"/>
          <w:lang w:eastAsia="es-ES"/>
        </w:rPr>
        <w:t xml:space="preserve">. </w:t>
      </w:r>
    </w:p>
    <w:p w14:paraId="53F1349A" w14:textId="77777777" w:rsidR="00E4189E" w:rsidRPr="00723E56" w:rsidRDefault="00E4189E" w:rsidP="00DC210D">
      <w:pPr>
        <w:jc w:val="both"/>
        <w:rPr>
          <w:rFonts w:cstheme="minorHAnsi"/>
        </w:rPr>
      </w:pPr>
    </w:p>
    <w:p w14:paraId="1D48F1C3" w14:textId="3566FB06" w:rsidR="00360D8E" w:rsidRPr="00723E56" w:rsidRDefault="00360D8E" w:rsidP="00360D8E">
      <w:pPr>
        <w:jc w:val="both"/>
        <w:rPr>
          <w:rFonts w:cstheme="minorHAnsi"/>
        </w:rPr>
      </w:pPr>
      <w:r w:rsidRPr="00723E56">
        <w:rPr>
          <w:rFonts w:cstheme="minorHAnsi"/>
        </w:rPr>
        <w:t xml:space="preserve">The report identifies four main themes in terms of issues already encountered and factors widely seen to increase the risks of trafficking and exploitation among displaced Ukrainians in the </w:t>
      </w:r>
      <w:proofErr w:type="gramStart"/>
      <w:r w:rsidRPr="00723E56">
        <w:rPr>
          <w:rFonts w:cstheme="minorHAnsi"/>
        </w:rPr>
        <w:t>UK;</w:t>
      </w:r>
      <w:bookmarkStart w:id="0" w:name="_Toc160022796"/>
      <w:bookmarkStart w:id="1" w:name="_Toc160023244"/>
      <w:bookmarkStart w:id="2" w:name="_Toc160023467"/>
      <w:bookmarkStart w:id="3" w:name="_Toc160023645"/>
      <w:bookmarkStart w:id="4" w:name="_Toc160027557"/>
      <w:bookmarkStart w:id="5" w:name="_Toc160027594"/>
      <w:bookmarkStart w:id="6" w:name="_Toc160564340"/>
      <w:proofErr w:type="gramEnd"/>
    </w:p>
    <w:p w14:paraId="1A946B96" w14:textId="77777777" w:rsidR="005E652F" w:rsidRPr="00723E56" w:rsidRDefault="005E652F" w:rsidP="00360D8E">
      <w:pPr>
        <w:jc w:val="both"/>
        <w:rPr>
          <w:rFonts w:cstheme="minorHAnsi"/>
        </w:rPr>
      </w:pPr>
    </w:p>
    <w:p w14:paraId="07B4840E" w14:textId="28429488" w:rsidR="00360D8E" w:rsidRPr="00723E56" w:rsidRDefault="00360D8E" w:rsidP="00360D8E">
      <w:pPr>
        <w:pStyle w:val="ListParagraph"/>
        <w:numPr>
          <w:ilvl w:val="0"/>
          <w:numId w:val="1"/>
        </w:numPr>
        <w:jc w:val="both"/>
        <w:rPr>
          <w:rFonts w:cstheme="minorHAnsi"/>
        </w:rPr>
      </w:pPr>
      <w:r w:rsidRPr="00723E56">
        <w:rPr>
          <w:rFonts w:cstheme="minorHAnsi"/>
        </w:rPr>
        <w:t>Housing insecurity as a source of multiple dependencies</w:t>
      </w:r>
      <w:bookmarkEnd w:id="0"/>
      <w:bookmarkEnd w:id="1"/>
      <w:bookmarkEnd w:id="2"/>
      <w:bookmarkEnd w:id="3"/>
      <w:bookmarkEnd w:id="4"/>
      <w:bookmarkEnd w:id="5"/>
      <w:bookmarkEnd w:id="6"/>
      <w:r w:rsidRPr="00723E56">
        <w:rPr>
          <w:rFonts w:cstheme="minorHAnsi"/>
        </w:rPr>
        <w:t xml:space="preserve"> </w:t>
      </w:r>
    </w:p>
    <w:p w14:paraId="165B6CB1" w14:textId="77777777" w:rsidR="00100226" w:rsidRPr="00723E56" w:rsidRDefault="00100226" w:rsidP="00100226">
      <w:pPr>
        <w:ind w:left="360"/>
        <w:jc w:val="both"/>
        <w:rPr>
          <w:rFonts w:cstheme="minorHAnsi"/>
        </w:rPr>
      </w:pPr>
    </w:p>
    <w:p w14:paraId="1FA99D46" w14:textId="77777777" w:rsidR="00360D8E" w:rsidRPr="00723E56" w:rsidRDefault="00360D8E" w:rsidP="00360D8E">
      <w:pPr>
        <w:pStyle w:val="ListParagraph"/>
        <w:numPr>
          <w:ilvl w:val="0"/>
          <w:numId w:val="1"/>
        </w:numPr>
        <w:jc w:val="both"/>
        <w:rPr>
          <w:rFonts w:cstheme="minorHAnsi"/>
        </w:rPr>
      </w:pPr>
      <w:bookmarkStart w:id="7" w:name="_Toc160564341"/>
      <w:r w:rsidRPr="00723E56">
        <w:rPr>
          <w:rFonts w:cstheme="minorHAnsi"/>
        </w:rPr>
        <w:t>Challenges around work and labour exploitation</w:t>
      </w:r>
      <w:bookmarkEnd w:id="7"/>
      <w:r w:rsidRPr="00723E56">
        <w:rPr>
          <w:rFonts w:cstheme="minorHAnsi"/>
        </w:rPr>
        <w:t xml:space="preserve"> </w:t>
      </w:r>
    </w:p>
    <w:p w14:paraId="230DDE65" w14:textId="77777777" w:rsidR="00100226" w:rsidRPr="00723E56" w:rsidRDefault="00100226" w:rsidP="00100226">
      <w:pPr>
        <w:jc w:val="both"/>
        <w:rPr>
          <w:rFonts w:cstheme="minorHAnsi"/>
        </w:rPr>
      </w:pPr>
    </w:p>
    <w:p w14:paraId="7A41D049" w14:textId="77777777" w:rsidR="00360D8E" w:rsidRPr="00723E56" w:rsidRDefault="00360D8E" w:rsidP="00360D8E">
      <w:pPr>
        <w:pStyle w:val="ListParagraph"/>
        <w:numPr>
          <w:ilvl w:val="0"/>
          <w:numId w:val="1"/>
        </w:numPr>
        <w:jc w:val="both"/>
        <w:rPr>
          <w:rFonts w:cstheme="minorHAnsi"/>
        </w:rPr>
      </w:pPr>
      <w:bookmarkStart w:id="8" w:name="_Toc133942760"/>
      <w:bookmarkStart w:id="9" w:name="_Toc138938266"/>
      <w:bookmarkStart w:id="10" w:name="_Toc143249125"/>
      <w:bookmarkStart w:id="11" w:name="_Toc160022799"/>
      <w:bookmarkStart w:id="12" w:name="_Toc160023247"/>
      <w:bookmarkStart w:id="13" w:name="_Toc160023470"/>
      <w:bookmarkStart w:id="14" w:name="_Toc160023648"/>
      <w:bookmarkStart w:id="15" w:name="_Toc160027560"/>
      <w:bookmarkStart w:id="16" w:name="_Toc160027597"/>
      <w:bookmarkStart w:id="17" w:name="_Toc160564342"/>
      <w:r w:rsidRPr="00723E56">
        <w:rPr>
          <w:rFonts w:cstheme="minorHAnsi"/>
        </w:rPr>
        <w:t>Immigration insecurity and limits to access to specialist immigration advice</w:t>
      </w:r>
      <w:bookmarkEnd w:id="8"/>
      <w:bookmarkEnd w:id="9"/>
      <w:bookmarkEnd w:id="10"/>
      <w:bookmarkEnd w:id="11"/>
      <w:bookmarkEnd w:id="12"/>
      <w:bookmarkEnd w:id="13"/>
      <w:bookmarkEnd w:id="14"/>
      <w:bookmarkEnd w:id="15"/>
      <w:bookmarkEnd w:id="16"/>
      <w:bookmarkEnd w:id="17"/>
      <w:r w:rsidRPr="00723E56">
        <w:rPr>
          <w:rFonts w:cstheme="minorHAnsi"/>
        </w:rPr>
        <w:t xml:space="preserve"> </w:t>
      </w:r>
    </w:p>
    <w:p w14:paraId="4C0EC8B5" w14:textId="77777777" w:rsidR="00100226" w:rsidRPr="00723E56" w:rsidRDefault="00100226" w:rsidP="00100226">
      <w:pPr>
        <w:pStyle w:val="ListParagraph"/>
        <w:jc w:val="both"/>
        <w:rPr>
          <w:rFonts w:cstheme="minorHAnsi"/>
        </w:rPr>
      </w:pPr>
    </w:p>
    <w:p w14:paraId="3B0762FC" w14:textId="77777777" w:rsidR="00360D8E" w:rsidRPr="00723E56" w:rsidRDefault="00360D8E" w:rsidP="00360D8E">
      <w:pPr>
        <w:pStyle w:val="ListParagraph"/>
        <w:numPr>
          <w:ilvl w:val="0"/>
          <w:numId w:val="1"/>
        </w:numPr>
        <w:jc w:val="both"/>
        <w:rPr>
          <w:rFonts w:cstheme="minorHAnsi"/>
        </w:rPr>
      </w:pPr>
      <w:bookmarkStart w:id="18" w:name="_Toc160564343"/>
      <w:r w:rsidRPr="00723E56">
        <w:rPr>
          <w:rFonts w:cstheme="minorHAnsi"/>
        </w:rPr>
        <w:t xml:space="preserve">Challenges in identifying and acting on potential trafficking or </w:t>
      </w:r>
      <w:proofErr w:type="gramStart"/>
      <w:r w:rsidRPr="00723E56">
        <w:rPr>
          <w:rFonts w:cstheme="minorHAnsi"/>
        </w:rPr>
        <w:t>exploitation</w:t>
      </w:r>
      <w:bookmarkEnd w:id="18"/>
      <w:proofErr w:type="gramEnd"/>
    </w:p>
    <w:p w14:paraId="482A051C" w14:textId="77777777" w:rsidR="00F60C92" w:rsidRPr="00723E56" w:rsidRDefault="00F60C92" w:rsidP="00213C11">
      <w:pPr>
        <w:pStyle w:val="ListParagraph"/>
        <w:rPr>
          <w:rFonts w:cstheme="minorHAnsi"/>
        </w:rPr>
      </w:pPr>
    </w:p>
    <w:p w14:paraId="4629AEF7" w14:textId="20BEB05F" w:rsidR="00F60C92" w:rsidRPr="00723E56" w:rsidRDefault="00F60C92" w:rsidP="00213C11">
      <w:pPr>
        <w:jc w:val="both"/>
        <w:rPr>
          <w:rFonts w:cstheme="minorHAnsi"/>
        </w:rPr>
      </w:pPr>
      <w:r w:rsidRPr="00723E56">
        <w:rPr>
          <w:rFonts w:cstheme="minorHAnsi"/>
        </w:rPr>
        <w:t xml:space="preserve">Since the research was conducted, there have been growing numbers of Ukrainians presenting </w:t>
      </w:r>
      <w:r w:rsidR="003646F4" w:rsidRPr="00723E56">
        <w:rPr>
          <w:rFonts w:cstheme="minorHAnsi"/>
        </w:rPr>
        <w:t xml:space="preserve">in the UK </w:t>
      </w:r>
      <w:r w:rsidRPr="00723E56">
        <w:rPr>
          <w:rFonts w:cstheme="minorHAnsi"/>
        </w:rPr>
        <w:t xml:space="preserve">as homeless </w:t>
      </w:r>
      <w:r w:rsidR="003646F4" w:rsidRPr="00723E56">
        <w:rPr>
          <w:rFonts w:cstheme="minorHAnsi"/>
        </w:rPr>
        <w:t>or at risk of homelessness</w:t>
      </w:r>
      <w:r w:rsidRPr="00723E56">
        <w:rPr>
          <w:rFonts w:cstheme="minorHAnsi"/>
        </w:rPr>
        <w:t xml:space="preserve">. </w:t>
      </w:r>
      <w:r w:rsidR="003646F4" w:rsidRPr="00723E56">
        <w:rPr>
          <w:rFonts w:cstheme="minorHAnsi"/>
        </w:rPr>
        <w:t xml:space="preserve">The risks that can also entail from the perspective of </w:t>
      </w:r>
      <w:r w:rsidRPr="00723E56">
        <w:rPr>
          <w:rFonts w:cstheme="minorHAnsi"/>
        </w:rPr>
        <w:t>exploitation are illustrated below.</w:t>
      </w:r>
    </w:p>
    <w:p w14:paraId="36C4599E" w14:textId="77777777" w:rsidR="00F60C92" w:rsidRPr="00723E56" w:rsidRDefault="00F60C92" w:rsidP="00360D8E">
      <w:pPr>
        <w:jc w:val="both"/>
        <w:rPr>
          <w:rFonts w:cstheme="minorHAnsi"/>
        </w:rPr>
      </w:pPr>
      <w:bookmarkStart w:id="19" w:name="_Toc133942764"/>
      <w:bookmarkStart w:id="20" w:name="_Toc138938270"/>
      <w:bookmarkStart w:id="21" w:name="_Toc143249022"/>
      <w:bookmarkStart w:id="22" w:name="_Toc143249129"/>
    </w:p>
    <w:p w14:paraId="57AA8B34" w14:textId="77777777" w:rsidR="00F60C92" w:rsidRPr="00723E56" w:rsidRDefault="00F60C92" w:rsidP="00F60C92">
      <w:pPr>
        <w:ind w:left="360"/>
        <w:jc w:val="both"/>
        <w:rPr>
          <w:rFonts w:cstheme="minorHAnsi"/>
        </w:rPr>
      </w:pPr>
      <w:r w:rsidRPr="00723E56">
        <w:rPr>
          <w:rFonts w:cstheme="minorHAnsi"/>
          <w:i/>
          <w:iCs/>
        </w:rPr>
        <w:t>“</w:t>
      </w:r>
      <w:proofErr w:type="gramStart"/>
      <w:r w:rsidRPr="00723E56">
        <w:rPr>
          <w:rFonts w:cstheme="minorHAnsi"/>
          <w:i/>
          <w:iCs/>
        </w:rPr>
        <w:t>So</w:t>
      </w:r>
      <w:proofErr w:type="gramEnd"/>
      <w:r w:rsidRPr="00723E56">
        <w:rPr>
          <w:rFonts w:cstheme="minorHAnsi"/>
          <w:i/>
          <w:iCs/>
        </w:rPr>
        <w:t xml:space="preserve"> they can’t get access to the private rented housing market because it’s too aggressive and too expensive and they can’t find meaningful employment. So, it’s just leaving them in this state of flux where they’re at the mercy of their hosts. And if they’re in an exploitative situation that’s just going to continue because they don’t have any alternative over the homelessness or destitution.”</w:t>
      </w:r>
      <w:r w:rsidRPr="00723E56">
        <w:rPr>
          <w:rFonts w:cstheme="minorHAnsi"/>
        </w:rPr>
        <w:t xml:space="preserve"> (Research participant, Civil Society)</w:t>
      </w:r>
    </w:p>
    <w:p w14:paraId="2C820FA8" w14:textId="77777777" w:rsidR="00F60C92" w:rsidRPr="00723E56" w:rsidRDefault="00F60C92" w:rsidP="00360D8E">
      <w:pPr>
        <w:jc w:val="both"/>
        <w:rPr>
          <w:rFonts w:cstheme="minorHAnsi"/>
        </w:rPr>
      </w:pPr>
    </w:p>
    <w:p w14:paraId="5E694624" w14:textId="77777777" w:rsidR="00F60C92" w:rsidRPr="00723E56" w:rsidRDefault="00F60C92" w:rsidP="00360D8E">
      <w:pPr>
        <w:jc w:val="both"/>
        <w:rPr>
          <w:rFonts w:cstheme="minorHAnsi"/>
        </w:rPr>
      </w:pPr>
    </w:p>
    <w:p w14:paraId="5E82281E" w14:textId="665F0C54" w:rsidR="00F60C92" w:rsidRPr="00723E56" w:rsidRDefault="00F60C92" w:rsidP="00360D8E">
      <w:pPr>
        <w:jc w:val="both"/>
        <w:rPr>
          <w:rFonts w:cstheme="minorHAnsi"/>
        </w:rPr>
      </w:pPr>
      <w:proofErr w:type="gramStart"/>
      <w:r w:rsidRPr="00723E56">
        <w:rPr>
          <w:rFonts w:cstheme="minorHAnsi"/>
        </w:rPr>
        <w:t>Particular concerns</w:t>
      </w:r>
      <w:proofErr w:type="gramEnd"/>
      <w:r w:rsidRPr="00723E56">
        <w:rPr>
          <w:rFonts w:cstheme="minorHAnsi"/>
        </w:rPr>
        <w:t xml:space="preserve"> were raised about the limits to current responses if exploitation </w:t>
      </w:r>
      <w:r w:rsidR="003646F4" w:rsidRPr="00723E56">
        <w:rPr>
          <w:rFonts w:cstheme="minorHAnsi"/>
        </w:rPr>
        <w:t>was occurring but not seen to cross</w:t>
      </w:r>
      <w:r w:rsidRPr="00723E56">
        <w:rPr>
          <w:rFonts w:cstheme="minorHAnsi"/>
        </w:rPr>
        <w:t xml:space="preserve"> the threshold to be considered modern slavery. Issues were also identified around apparent misuse of the </w:t>
      </w:r>
      <w:r w:rsidRPr="00723E56">
        <w:rPr>
          <w:rFonts w:cstheme="minorHAnsi"/>
          <w:i/>
          <w:iCs/>
        </w:rPr>
        <w:t>Homes for Ukraine</w:t>
      </w:r>
      <w:r w:rsidRPr="00723E56">
        <w:rPr>
          <w:rFonts w:cstheme="minorHAnsi"/>
        </w:rPr>
        <w:t xml:space="preserve"> scheme by some sponsors </w:t>
      </w:r>
      <w:r w:rsidRPr="00723E56">
        <w:rPr>
          <w:rFonts w:cstheme="minorHAnsi"/>
        </w:rPr>
        <w:lastRenderedPageBreak/>
        <w:t xml:space="preserve">to secure cheap (or free) labour, to which the authorities were said to have been slow to respond. </w:t>
      </w:r>
      <w:r w:rsidR="00A01966" w:rsidRPr="00723E56">
        <w:rPr>
          <w:rFonts w:cstheme="minorHAnsi"/>
        </w:rPr>
        <w:t xml:space="preserve">Mistreatment of Ukrainian seasonal workers in agriculture </w:t>
      </w:r>
      <w:proofErr w:type="gramStart"/>
      <w:r w:rsidR="00A01966" w:rsidRPr="00723E56">
        <w:rPr>
          <w:rFonts w:cstheme="minorHAnsi"/>
        </w:rPr>
        <w:t>was</w:t>
      </w:r>
      <w:proofErr w:type="gramEnd"/>
      <w:r w:rsidR="00A01966" w:rsidRPr="00723E56">
        <w:rPr>
          <w:rFonts w:cstheme="minorHAnsi"/>
        </w:rPr>
        <w:t xml:space="preserve"> also highlighted, with concerns that </w:t>
      </w:r>
      <w:r w:rsidR="00FF1316" w:rsidRPr="00723E56">
        <w:rPr>
          <w:rFonts w:cstheme="minorHAnsi"/>
        </w:rPr>
        <w:t xml:space="preserve">neither </w:t>
      </w:r>
      <w:r w:rsidR="00A01966" w:rsidRPr="00723E56">
        <w:rPr>
          <w:rFonts w:cstheme="minorHAnsi"/>
        </w:rPr>
        <w:t xml:space="preserve">the State </w:t>
      </w:r>
      <w:r w:rsidR="00FF1316" w:rsidRPr="00723E56">
        <w:rPr>
          <w:rFonts w:cstheme="minorHAnsi"/>
        </w:rPr>
        <w:t>or</w:t>
      </w:r>
      <w:r w:rsidR="00A01966" w:rsidRPr="00723E56">
        <w:rPr>
          <w:rFonts w:cstheme="minorHAnsi"/>
        </w:rPr>
        <w:t xml:space="preserve"> </w:t>
      </w:r>
      <w:r w:rsidR="00FF1316" w:rsidRPr="00723E56">
        <w:rPr>
          <w:rFonts w:cstheme="minorHAnsi"/>
        </w:rPr>
        <w:t>S</w:t>
      </w:r>
      <w:r w:rsidR="00A01966" w:rsidRPr="00723E56">
        <w:rPr>
          <w:rFonts w:cstheme="minorHAnsi"/>
        </w:rPr>
        <w:t xml:space="preserve">cheme </w:t>
      </w:r>
      <w:r w:rsidR="00FF1316" w:rsidRPr="00723E56">
        <w:rPr>
          <w:rFonts w:cstheme="minorHAnsi"/>
        </w:rPr>
        <w:t>O</w:t>
      </w:r>
      <w:r w:rsidR="00A01966" w:rsidRPr="00723E56">
        <w:rPr>
          <w:rFonts w:cstheme="minorHAnsi"/>
        </w:rPr>
        <w:t xml:space="preserve">perators had done </w:t>
      </w:r>
      <w:r w:rsidR="00FF1316" w:rsidRPr="00723E56">
        <w:rPr>
          <w:rFonts w:cstheme="minorHAnsi"/>
        </w:rPr>
        <w:t xml:space="preserve">enough </w:t>
      </w:r>
      <w:r w:rsidR="00A01966" w:rsidRPr="00723E56">
        <w:rPr>
          <w:rFonts w:cstheme="minorHAnsi"/>
        </w:rPr>
        <w:t>to inform Ukrainians in this situation of their right to switch onto</w:t>
      </w:r>
      <w:r w:rsidR="00FF1316" w:rsidRPr="00723E56">
        <w:rPr>
          <w:rFonts w:cstheme="minorHAnsi"/>
        </w:rPr>
        <w:t xml:space="preserve"> the</w:t>
      </w:r>
      <w:r w:rsidR="00A01966" w:rsidRPr="00723E56">
        <w:rPr>
          <w:rFonts w:cstheme="minorHAnsi"/>
        </w:rPr>
        <w:t xml:space="preserve"> less restrictive </w:t>
      </w:r>
      <w:r w:rsidR="00FF1316" w:rsidRPr="00723E56">
        <w:rPr>
          <w:rFonts w:cstheme="minorHAnsi"/>
        </w:rPr>
        <w:t>Ukraine visa schemes</w:t>
      </w:r>
      <w:r w:rsidR="00A01966" w:rsidRPr="00723E56">
        <w:rPr>
          <w:rFonts w:cstheme="minorHAnsi"/>
        </w:rPr>
        <w:t xml:space="preserve"> that gave access to the broader labour market and recourse to public funds.</w:t>
      </w:r>
    </w:p>
    <w:p w14:paraId="1D80DC35" w14:textId="77777777" w:rsidR="00125F54" w:rsidRPr="00723E56" w:rsidRDefault="00125F54" w:rsidP="00100226">
      <w:pPr>
        <w:ind w:left="360"/>
        <w:jc w:val="both"/>
        <w:rPr>
          <w:rFonts w:cstheme="minorHAnsi"/>
        </w:rPr>
      </w:pPr>
    </w:p>
    <w:p w14:paraId="643BD3C4" w14:textId="6768E65A" w:rsidR="00125F54" w:rsidRPr="004A5E40" w:rsidRDefault="00125F54" w:rsidP="00360D8E">
      <w:pPr>
        <w:jc w:val="both"/>
        <w:rPr>
          <w:rFonts w:cstheme="minorHAnsi"/>
          <w:i/>
          <w:iCs/>
        </w:rPr>
      </w:pPr>
      <w:r w:rsidRPr="004A5E40">
        <w:rPr>
          <w:rFonts w:cstheme="minorHAnsi"/>
          <w:i/>
          <w:iCs/>
        </w:rPr>
        <w:t xml:space="preserve">Report author </w:t>
      </w:r>
      <w:r w:rsidR="00495E5B" w:rsidRPr="004A5E40">
        <w:rPr>
          <w:rFonts w:cstheme="minorHAnsi"/>
          <w:i/>
          <w:iCs/>
        </w:rPr>
        <w:t xml:space="preserve">Ella </w:t>
      </w:r>
      <w:proofErr w:type="spellStart"/>
      <w:r w:rsidR="00495E5B" w:rsidRPr="004A5E40">
        <w:rPr>
          <w:rFonts w:cstheme="minorHAnsi"/>
          <w:i/>
          <w:iCs/>
        </w:rPr>
        <w:t>Cockbain</w:t>
      </w:r>
      <w:proofErr w:type="spellEnd"/>
      <w:r w:rsidR="00495E5B" w:rsidRPr="004A5E40">
        <w:rPr>
          <w:rFonts w:cstheme="minorHAnsi"/>
          <w:i/>
          <w:iCs/>
        </w:rPr>
        <w:t xml:space="preserve"> of UCL</w:t>
      </w:r>
      <w:r w:rsidRPr="004A5E40">
        <w:rPr>
          <w:rFonts w:cstheme="minorHAnsi"/>
          <w:i/>
          <w:iCs/>
        </w:rPr>
        <w:t xml:space="preserve"> said,</w:t>
      </w:r>
    </w:p>
    <w:p w14:paraId="0D636094" w14:textId="77777777" w:rsidR="00125F54" w:rsidRPr="004A5E40" w:rsidRDefault="00125F54" w:rsidP="00360D8E">
      <w:pPr>
        <w:jc w:val="both"/>
        <w:rPr>
          <w:rFonts w:cstheme="minorHAnsi"/>
          <w:i/>
          <w:iCs/>
        </w:rPr>
      </w:pPr>
    </w:p>
    <w:p w14:paraId="58F0ACCF" w14:textId="0F10E9F4" w:rsidR="00125F54" w:rsidRPr="004A5E40" w:rsidRDefault="00125F54" w:rsidP="00213C11">
      <w:pPr>
        <w:ind w:left="720"/>
        <w:jc w:val="both"/>
        <w:rPr>
          <w:rFonts w:cstheme="minorHAnsi"/>
          <w:i/>
          <w:iCs/>
        </w:rPr>
      </w:pPr>
      <w:r w:rsidRPr="004A5E40">
        <w:rPr>
          <w:rFonts w:cstheme="minorHAnsi"/>
          <w:i/>
          <w:iCs/>
        </w:rPr>
        <w:t>“</w:t>
      </w:r>
      <w:r w:rsidR="00F60C92" w:rsidRPr="004A5E40">
        <w:rPr>
          <w:rFonts w:cstheme="minorHAnsi"/>
          <w:i/>
          <w:iCs/>
        </w:rPr>
        <w:t>It is vital to ensure</w:t>
      </w:r>
      <w:r w:rsidRPr="004A5E40">
        <w:rPr>
          <w:rFonts w:cstheme="minorHAnsi"/>
          <w:i/>
          <w:iCs/>
        </w:rPr>
        <w:t xml:space="preserve"> displaced Ukrainians in the UK are not pushed into</w:t>
      </w:r>
      <w:r w:rsidR="00F60C92" w:rsidRPr="004A5E40">
        <w:rPr>
          <w:rFonts w:cstheme="minorHAnsi"/>
          <w:i/>
          <w:iCs/>
        </w:rPr>
        <w:t xml:space="preserve"> exploitative situations or left trapped there</w:t>
      </w:r>
      <w:r w:rsidRPr="004A5E40">
        <w:rPr>
          <w:rFonts w:cstheme="minorHAnsi"/>
          <w:i/>
          <w:iCs/>
        </w:rPr>
        <w:t xml:space="preserve"> </w:t>
      </w:r>
      <w:r w:rsidR="00F60C92" w:rsidRPr="004A5E40">
        <w:rPr>
          <w:rFonts w:cstheme="minorHAnsi"/>
          <w:i/>
          <w:iCs/>
        </w:rPr>
        <w:t>because of a lack of alternatives and a struggle to meet basic needs. As Russia’s war in Ukraine drags on, there are lessons in this research both for ensuring the safety of the most precarious Ukrainians in the UK and improving state responses to other groups fleeing conflict”.</w:t>
      </w:r>
    </w:p>
    <w:p w14:paraId="0E1161F3" w14:textId="77777777" w:rsidR="00495E5B" w:rsidRPr="00723E56" w:rsidRDefault="00495E5B" w:rsidP="003646F4">
      <w:pPr>
        <w:jc w:val="both"/>
        <w:rPr>
          <w:rFonts w:cstheme="minorHAnsi"/>
        </w:rPr>
      </w:pPr>
    </w:p>
    <w:p w14:paraId="70712FE1" w14:textId="799907BF" w:rsidR="003646F4" w:rsidRPr="00723E56" w:rsidRDefault="003646F4" w:rsidP="003646F4">
      <w:pPr>
        <w:jc w:val="both"/>
        <w:rPr>
          <w:rFonts w:cstheme="minorHAnsi"/>
        </w:rPr>
      </w:pPr>
      <w:r w:rsidRPr="00723E56">
        <w:rPr>
          <w:rFonts w:cstheme="minorHAnsi"/>
        </w:rPr>
        <w:t xml:space="preserve">Crucially, the report also highlights the protective functions of allowing people safe passage, the unrestricted right to work, access to public funds, and regularisation options. There were concrete examples given that showed how having these visa schemes enabled some Ukrainians in exploitative situations in the UK to seek help, without fear of immigration detention and removal. There are important lessons from the Ukraine schemes for improving crisis responses to other people seeking sanctuary in the UK from other conflicts. </w:t>
      </w:r>
    </w:p>
    <w:p w14:paraId="5F211C64" w14:textId="77777777" w:rsidR="00213C11" w:rsidRPr="00723E56" w:rsidRDefault="00213C11" w:rsidP="003646F4">
      <w:pPr>
        <w:jc w:val="both"/>
        <w:rPr>
          <w:rFonts w:cstheme="minorHAnsi"/>
        </w:rPr>
      </w:pPr>
    </w:p>
    <w:p w14:paraId="1D979A4A" w14:textId="60C3CBE1" w:rsidR="00213C11" w:rsidRPr="006C5023" w:rsidRDefault="00213C11" w:rsidP="00213C11">
      <w:pPr>
        <w:jc w:val="both"/>
        <w:rPr>
          <w:rFonts w:cstheme="minorHAnsi"/>
          <w:i/>
          <w:iCs/>
        </w:rPr>
      </w:pPr>
      <w:r w:rsidRPr="006C5023">
        <w:rPr>
          <w:rFonts w:cstheme="minorHAnsi"/>
          <w:i/>
          <w:iCs/>
        </w:rPr>
        <w:t>Another report author Kate Roberts of FLEX said,</w:t>
      </w:r>
    </w:p>
    <w:p w14:paraId="5C06CD71" w14:textId="77777777" w:rsidR="00213C11" w:rsidRPr="006C5023" w:rsidRDefault="00213C11" w:rsidP="00213C11">
      <w:pPr>
        <w:jc w:val="both"/>
        <w:rPr>
          <w:rFonts w:cstheme="minorHAnsi"/>
          <w:i/>
          <w:iCs/>
        </w:rPr>
      </w:pPr>
    </w:p>
    <w:p w14:paraId="0C04499C" w14:textId="7D557FD1" w:rsidR="00213C11" w:rsidRPr="006C5023" w:rsidRDefault="00213C11" w:rsidP="006C5023">
      <w:pPr>
        <w:ind w:left="720"/>
        <w:jc w:val="both"/>
        <w:rPr>
          <w:rFonts w:cstheme="minorHAnsi"/>
          <w:i/>
          <w:iCs/>
        </w:rPr>
      </w:pPr>
      <w:r w:rsidRPr="006C5023">
        <w:rPr>
          <w:rFonts w:cstheme="minorHAnsi"/>
          <w:i/>
          <w:iCs/>
        </w:rPr>
        <w:t>“The Ukraine Extension Scheme has shown the importance of the UK’s immigration system offering options to migrants which mean that rather than spending years in limbo and at risk of exploitation people have options to apply to change or regularise their immigration status”.</w:t>
      </w:r>
    </w:p>
    <w:p w14:paraId="23258ADB" w14:textId="77777777" w:rsidR="00016E2C" w:rsidRPr="00723E56" w:rsidRDefault="00016E2C" w:rsidP="00360D8E">
      <w:pPr>
        <w:jc w:val="both"/>
        <w:rPr>
          <w:rFonts w:cstheme="minorHAnsi"/>
        </w:rPr>
      </w:pPr>
    </w:p>
    <w:p w14:paraId="0CE56E22" w14:textId="7FD99933" w:rsidR="003646F4" w:rsidRPr="00723E56" w:rsidRDefault="003646F4" w:rsidP="003646F4">
      <w:pPr>
        <w:jc w:val="both"/>
        <w:rPr>
          <w:rFonts w:cstheme="minorHAnsi"/>
        </w:rPr>
      </w:pPr>
      <w:r w:rsidRPr="00723E56">
        <w:rPr>
          <w:rFonts w:cstheme="minorHAnsi"/>
        </w:rPr>
        <w:t xml:space="preserve">Overall, the report’s </w:t>
      </w:r>
      <w:r w:rsidR="005E652F" w:rsidRPr="00723E56">
        <w:rPr>
          <w:rFonts w:cstheme="minorHAnsi"/>
        </w:rPr>
        <w:t xml:space="preserve">findings speak to a clear need to focus on alleviating insecurity in housing, </w:t>
      </w:r>
      <w:proofErr w:type="gramStart"/>
      <w:r w:rsidR="005E652F" w:rsidRPr="00723E56">
        <w:rPr>
          <w:rFonts w:cstheme="minorHAnsi"/>
        </w:rPr>
        <w:t>work</w:t>
      </w:r>
      <w:proofErr w:type="gramEnd"/>
      <w:r w:rsidR="005E652F" w:rsidRPr="00723E56">
        <w:rPr>
          <w:rFonts w:cstheme="minorHAnsi"/>
        </w:rPr>
        <w:t xml:space="preserve"> and immigration status</w:t>
      </w:r>
      <w:r w:rsidR="00A01966" w:rsidRPr="00723E56">
        <w:rPr>
          <w:rFonts w:cstheme="minorHAnsi"/>
        </w:rPr>
        <w:t xml:space="preserve">. </w:t>
      </w:r>
      <w:r w:rsidRPr="00723E56">
        <w:rPr>
          <w:rFonts w:cstheme="minorHAnsi"/>
        </w:rPr>
        <w:t xml:space="preserve">The recommendations aim to address risks of ongoing or escalating exploitation in the UK that relate to the war in Ukraine. Recommendations include introducing </w:t>
      </w:r>
      <w:r w:rsidR="00197172" w:rsidRPr="00723E56">
        <w:rPr>
          <w:rFonts w:cstheme="minorHAnsi"/>
        </w:rPr>
        <w:t>pathways to settlement</w:t>
      </w:r>
      <w:r w:rsidR="00A01966" w:rsidRPr="00723E56">
        <w:rPr>
          <w:rFonts w:cstheme="minorHAnsi"/>
        </w:rPr>
        <w:t xml:space="preserve"> for all on the Ukraine humanitarian visas </w:t>
      </w:r>
      <w:r w:rsidR="00197172" w:rsidRPr="00723E56">
        <w:rPr>
          <w:rFonts w:cstheme="minorHAnsi"/>
        </w:rPr>
        <w:t xml:space="preserve">and </w:t>
      </w:r>
      <w:r w:rsidRPr="00723E56">
        <w:rPr>
          <w:rFonts w:cstheme="minorHAnsi"/>
        </w:rPr>
        <w:t>extending access to the schemes to other</w:t>
      </w:r>
      <w:r w:rsidR="00197172" w:rsidRPr="00723E56">
        <w:rPr>
          <w:rFonts w:cstheme="minorHAnsi"/>
        </w:rPr>
        <w:t xml:space="preserve"> people displaced by th</w:t>
      </w:r>
      <w:r w:rsidRPr="00723E56">
        <w:rPr>
          <w:rFonts w:cstheme="minorHAnsi"/>
        </w:rPr>
        <w:t>e same</w:t>
      </w:r>
      <w:r w:rsidR="00197172" w:rsidRPr="00723E56">
        <w:rPr>
          <w:rFonts w:cstheme="minorHAnsi"/>
        </w:rPr>
        <w:t xml:space="preserve"> conflict </w:t>
      </w:r>
      <w:r w:rsidRPr="00723E56">
        <w:rPr>
          <w:rFonts w:cstheme="minorHAnsi"/>
        </w:rPr>
        <w:t xml:space="preserve">but </w:t>
      </w:r>
      <w:r w:rsidR="00197172" w:rsidRPr="00723E56">
        <w:rPr>
          <w:rFonts w:cstheme="minorHAnsi"/>
        </w:rPr>
        <w:t xml:space="preserve">still excluded </w:t>
      </w:r>
      <w:r w:rsidRPr="00723E56">
        <w:rPr>
          <w:rFonts w:cstheme="minorHAnsi"/>
        </w:rPr>
        <w:t>from these protections</w:t>
      </w:r>
      <w:r w:rsidR="00197172" w:rsidRPr="00723E56">
        <w:rPr>
          <w:rFonts w:cstheme="minorHAnsi"/>
        </w:rPr>
        <w:t xml:space="preserve">. There also needs to be </w:t>
      </w:r>
      <w:proofErr w:type="gramStart"/>
      <w:r w:rsidR="005E652F" w:rsidRPr="00723E56">
        <w:rPr>
          <w:rFonts w:cstheme="minorHAnsi"/>
        </w:rPr>
        <w:t>work</w:t>
      </w:r>
      <w:proofErr w:type="gramEnd"/>
      <w:r w:rsidR="005E652F" w:rsidRPr="00723E56">
        <w:rPr>
          <w:rFonts w:cstheme="minorHAnsi"/>
        </w:rPr>
        <w:t xml:space="preserve"> to identify and respond to situations of exploitation more effectively. That must include prevention of exploitation which does not reach the threshold of trafficking or modern slavery but nevertheless causes harms to those affected and could escalate if left unchecked. </w:t>
      </w:r>
      <w:bookmarkEnd w:id="19"/>
      <w:bookmarkEnd w:id="20"/>
      <w:bookmarkEnd w:id="21"/>
      <w:bookmarkEnd w:id="22"/>
      <w:r w:rsidR="00360D8E" w:rsidRPr="00723E56">
        <w:rPr>
          <w:rFonts w:cstheme="minorHAnsi"/>
        </w:rPr>
        <w:t xml:space="preserve"> </w:t>
      </w:r>
    </w:p>
    <w:p w14:paraId="7BBC73D4" w14:textId="77777777" w:rsidR="00360D8E" w:rsidRPr="00723E56" w:rsidRDefault="00360D8E" w:rsidP="00DC210D">
      <w:pPr>
        <w:jc w:val="both"/>
        <w:rPr>
          <w:rFonts w:cstheme="minorHAnsi"/>
        </w:rPr>
      </w:pPr>
    </w:p>
    <w:p w14:paraId="3D7EBEC7" w14:textId="417A500E" w:rsidR="003766E5" w:rsidRPr="00723E56" w:rsidRDefault="003766E5" w:rsidP="003766E5">
      <w:pPr>
        <w:jc w:val="both"/>
        <w:rPr>
          <w:rFonts w:cstheme="minorHAnsi"/>
        </w:rPr>
      </w:pPr>
      <w:r w:rsidRPr="00723E56">
        <w:rPr>
          <w:rFonts w:cstheme="minorHAnsi"/>
        </w:rPr>
        <w:t>The study was a collaboration between leading workers’ rights NGO Focus on Labour Exploitation (FLEX</w:t>
      </w:r>
      <w:r w:rsidR="00723E56" w:rsidRPr="00723E56">
        <w:rPr>
          <w:rFonts w:cstheme="minorHAnsi"/>
        </w:rPr>
        <w:t>) and</w:t>
      </w:r>
      <w:r w:rsidRPr="00723E56">
        <w:rPr>
          <w:rFonts w:cstheme="minorHAnsi"/>
        </w:rPr>
        <w:t xml:space="preserve"> </w:t>
      </w:r>
      <w:r w:rsidR="006A2973" w:rsidRPr="00723E56">
        <w:rPr>
          <w:rFonts w:cstheme="minorHAnsi"/>
        </w:rPr>
        <w:t>U</w:t>
      </w:r>
      <w:r w:rsidR="00723E56" w:rsidRPr="00723E56">
        <w:rPr>
          <w:rFonts w:cstheme="minorHAnsi"/>
        </w:rPr>
        <w:t>CL.</w:t>
      </w:r>
    </w:p>
    <w:p w14:paraId="2403C739" w14:textId="77777777" w:rsidR="006A2F42" w:rsidRPr="00723E56" w:rsidRDefault="006A2F42" w:rsidP="006A2F42">
      <w:pPr>
        <w:autoSpaceDE w:val="0"/>
        <w:autoSpaceDN w:val="0"/>
        <w:adjustRightInd w:val="0"/>
        <w:jc w:val="both"/>
        <w:rPr>
          <w:rFonts w:cstheme="minorHAnsi"/>
        </w:rPr>
      </w:pPr>
    </w:p>
    <w:p w14:paraId="48A47D26" w14:textId="623E781A" w:rsidR="005C27B3" w:rsidRPr="00723E56" w:rsidRDefault="004013CB" w:rsidP="004013CB">
      <w:pPr>
        <w:jc w:val="center"/>
        <w:rPr>
          <w:rFonts w:cstheme="minorHAnsi"/>
        </w:rPr>
      </w:pPr>
      <w:r w:rsidRPr="00723E56">
        <w:rPr>
          <w:rFonts w:cstheme="minorHAnsi"/>
          <w:b/>
          <w:bCs/>
        </w:rPr>
        <w:t>For more information on the issues contained in this briefing, please contact:</w:t>
      </w:r>
      <w:r w:rsidRPr="00723E56">
        <w:rPr>
          <w:rFonts w:cstheme="minorHAnsi"/>
        </w:rPr>
        <w:t xml:space="preserve"> </w:t>
      </w:r>
      <w:r w:rsidR="005E652F" w:rsidRPr="00723E56">
        <w:rPr>
          <w:rFonts w:cstheme="minorHAnsi"/>
        </w:rPr>
        <w:t xml:space="preserve">Ella </w:t>
      </w:r>
      <w:proofErr w:type="spellStart"/>
      <w:r w:rsidR="005E652F" w:rsidRPr="00723E56">
        <w:rPr>
          <w:rFonts w:cstheme="minorHAnsi"/>
        </w:rPr>
        <w:t>Cockbain</w:t>
      </w:r>
      <w:proofErr w:type="spellEnd"/>
      <w:r w:rsidR="005E652F" w:rsidRPr="00723E56">
        <w:rPr>
          <w:rFonts w:cstheme="minorHAnsi"/>
        </w:rPr>
        <w:t xml:space="preserve"> </w:t>
      </w:r>
      <w:r w:rsidR="005E652F" w:rsidRPr="008B760A">
        <w:rPr>
          <w:rFonts w:cstheme="minorHAnsi"/>
          <w:color w:val="0462C1"/>
          <w:u w:val="single"/>
        </w:rPr>
        <w:t>e.cockbain@ucl.ac.uk</w:t>
      </w:r>
      <w:r w:rsidR="005E652F" w:rsidRPr="00723E56">
        <w:rPr>
          <w:rFonts w:cstheme="minorHAnsi"/>
          <w:color w:val="0462C1"/>
        </w:rPr>
        <w:t xml:space="preserve"> </w:t>
      </w:r>
      <w:r w:rsidR="005E652F" w:rsidRPr="008B760A">
        <w:rPr>
          <w:rFonts w:cstheme="minorHAnsi"/>
        </w:rPr>
        <w:t xml:space="preserve">or </w:t>
      </w:r>
      <w:r w:rsidRPr="00723E56">
        <w:rPr>
          <w:rFonts w:cstheme="minorHAnsi"/>
        </w:rPr>
        <w:t xml:space="preserve">Kate Roberts </w:t>
      </w:r>
      <w:r w:rsidR="007145FB" w:rsidRPr="00723E56">
        <w:rPr>
          <w:rFonts w:cstheme="minorHAnsi"/>
        </w:rPr>
        <w:t>–</w:t>
      </w:r>
      <w:r w:rsidRPr="00723E56">
        <w:rPr>
          <w:rFonts w:cstheme="minorHAnsi"/>
        </w:rPr>
        <w:t xml:space="preserve"> </w:t>
      </w:r>
      <w:hyperlink r:id="rId7" w:history="1">
        <w:r w:rsidR="007145FB" w:rsidRPr="00723E56">
          <w:rPr>
            <w:rStyle w:val="Hyperlink"/>
            <w:rFonts w:cstheme="minorHAnsi"/>
          </w:rPr>
          <w:t>kate.roberts@labourexploitation.org</w:t>
        </w:r>
      </w:hyperlink>
      <w:r w:rsidR="007145FB" w:rsidRPr="00723E56">
        <w:rPr>
          <w:rFonts w:cstheme="minorHAnsi"/>
        </w:rPr>
        <w:t xml:space="preserve"> </w:t>
      </w:r>
    </w:p>
    <w:p w14:paraId="2D973CA3" w14:textId="0B55A4DD" w:rsidR="004013CB" w:rsidRPr="00723E56" w:rsidRDefault="004013CB" w:rsidP="004013CB">
      <w:pPr>
        <w:jc w:val="center"/>
        <w:rPr>
          <w:rFonts w:cstheme="minorHAnsi"/>
          <w:i/>
          <w:iCs/>
        </w:rPr>
      </w:pPr>
    </w:p>
    <w:sectPr w:rsidR="004013CB" w:rsidRPr="00723E56">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B03281" w14:textId="77777777" w:rsidR="00424E56" w:rsidRDefault="00424E56" w:rsidP="00983FCF">
      <w:r>
        <w:separator/>
      </w:r>
    </w:p>
  </w:endnote>
  <w:endnote w:type="continuationSeparator" w:id="0">
    <w:p w14:paraId="0F6F7444" w14:textId="77777777" w:rsidR="00424E56" w:rsidRDefault="00424E56" w:rsidP="00983F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59A90" w14:textId="77777777" w:rsidR="00C2289D" w:rsidRDefault="00C228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23F4B" w14:textId="77777777" w:rsidR="00C2289D" w:rsidRDefault="00C2289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A9954" w14:textId="77777777" w:rsidR="00C2289D" w:rsidRDefault="00C228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2F1EAE" w14:textId="77777777" w:rsidR="00424E56" w:rsidRDefault="00424E56" w:rsidP="00983FCF">
      <w:r>
        <w:separator/>
      </w:r>
    </w:p>
  </w:footnote>
  <w:footnote w:type="continuationSeparator" w:id="0">
    <w:p w14:paraId="0769DD43" w14:textId="77777777" w:rsidR="00424E56" w:rsidRDefault="00424E56" w:rsidP="00983F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52BBA" w14:textId="77777777" w:rsidR="00C2289D" w:rsidRDefault="00C2289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8641F" w14:textId="4EE6F4C2" w:rsidR="004013CB" w:rsidRDefault="004013C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8A712" w14:textId="77777777" w:rsidR="00C2289D" w:rsidRDefault="00C228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723D53"/>
    <w:multiLevelType w:val="hybridMultilevel"/>
    <w:tmpl w:val="BC3A8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085680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2F42"/>
    <w:rsid w:val="00016E2C"/>
    <w:rsid w:val="00036696"/>
    <w:rsid w:val="00062263"/>
    <w:rsid w:val="000638BC"/>
    <w:rsid w:val="00092C71"/>
    <w:rsid w:val="000B0514"/>
    <w:rsid w:val="00100226"/>
    <w:rsid w:val="00113F4C"/>
    <w:rsid w:val="00125F54"/>
    <w:rsid w:val="00197172"/>
    <w:rsid w:val="00213C11"/>
    <w:rsid w:val="0023123A"/>
    <w:rsid w:val="00251B20"/>
    <w:rsid w:val="0026226F"/>
    <w:rsid w:val="00276690"/>
    <w:rsid w:val="0034469C"/>
    <w:rsid w:val="00360D8E"/>
    <w:rsid w:val="003646F4"/>
    <w:rsid w:val="003766E5"/>
    <w:rsid w:val="003A4A66"/>
    <w:rsid w:val="003E496D"/>
    <w:rsid w:val="004013CB"/>
    <w:rsid w:val="00424E56"/>
    <w:rsid w:val="00427DA7"/>
    <w:rsid w:val="00495E5B"/>
    <w:rsid w:val="004A5E40"/>
    <w:rsid w:val="004E5871"/>
    <w:rsid w:val="00577A70"/>
    <w:rsid w:val="005B3D1E"/>
    <w:rsid w:val="005C27B3"/>
    <w:rsid w:val="005C4CCC"/>
    <w:rsid w:val="005E652F"/>
    <w:rsid w:val="006A2973"/>
    <w:rsid w:val="006A2F42"/>
    <w:rsid w:val="006B13C1"/>
    <w:rsid w:val="006C5023"/>
    <w:rsid w:val="007059C6"/>
    <w:rsid w:val="007145FB"/>
    <w:rsid w:val="00723E56"/>
    <w:rsid w:val="008B67AC"/>
    <w:rsid w:val="008B760A"/>
    <w:rsid w:val="009663EC"/>
    <w:rsid w:val="009702F3"/>
    <w:rsid w:val="00983FCF"/>
    <w:rsid w:val="00A01966"/>
    <w:rsid w:val="00A4754E"/>
    <w:rsid w:val="00AB3A44"/>
    <w:rsid w:val="00B161FA"/>
    <w:rsid w:val="00B85D82"/>
    <w:rsid w:val="00B93977"/>
    <w:rsid w:val="00C04740"/>
    <w:rsid w:val="00C21950"/>
    <w:rsid w:val="00C2289D"/>
    <w:rsid w:val="00C52FE0"/>
    <w:rsid w:val="00DC210D"/>
    <w:rsid w:val="00E4189E"/>
    <w:rsid w:val="00EF6B53"/>
    <w:rsid w:val="00F360CB"/>
    <w:rsid w:val="00F60C92"/>
    <w:rsid w:val="00F83F65"/>
    <w:rsid w:val="00FD08BA"/>
    <w:rsid w:val="00FF13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450DBC2"/>
  <w15:chartTrackingRefBased/>
  <w15:docId w15:val="{0B267572-F8F6-8C41-887C-6978D22F4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60D8E"/>
    <w:pPr>
      <w:keepNext/>
      <w:keepLines/>
      <w:spacing w:before="240" w:line="259" w:lineRule="auto"/>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60D8E"/>
    <w:pPr>
      <w:keepNext/>
      <w:keepLines/>
      <w:autoSpaceDE w:val="0"/>
      <w:autoSpaceDN w:val="0"/>
      <w:adjustRightInd w:val="0"/>
      <w:spacing w:before="40" w:line="259" w:lineRule="auto"/>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3E496D"/>
  </w:style>
  <w:style w:type="character" w:styleId="CommentReference">
    <w:name w:val="annotation reference"/>
    <w:basedOn w:val="DefaultParagraphFont"/>
    <w:uiPriority w:val="99"/>
    <w:semiHidden/>
    <w:unhideWhenUsed/>
    <w:rsid w:val="003E496D"/>
    <w:rPr>
      <w:sz w:val="16"/>
      <w:szCs w:val="16"/>
    </w:rPr>
  </w:style>
  <w:style w:type="paragraph" w:styleId="CommentText">
    <w:name w:val="annotation text"/>
    <w:basedOn w:val="Normal"/>
    <w:link w:val="CommentTextChar"/>
    <w:uiPriority w:val="99"/>
    <w:semiHidden/>
    <w:unhideWhenUsed/>
    <w:rsid w:val="003E496D"/>
    <w:rPr>
      <w:sz w:val="20"/>
      <w:szCs w:val="20"/>
    </w:rPr>
  </w:style>
  <w:style w:type="character" w:customStyle="1" w:styleId="CommentTextChar">
    <w:name w:val="Comment Text Char"/>
    <w:basedOn w:val="DefaultParagraphFont"/>
    <w:link w:val="CommentText"/>
    <w:uiPriority w:val="99"/>
    <w:semiHidden/>
    <w:rsid w:val="003E496D"/>
    <w:rPr>
      <w:sz w:val="20"/>
      <w:szCs w:val="20"/>
    </w:rPr>
  </w:style>
  <w:style w:type="paragraph" w:styleId="CommentSubject">
    <w:name w:val="annotation subject"/>
    <w:basedOn w:val="CommentText"/>
    <w:next w:val="CommentText"/>
    <w:link w:val="CommentSubjectChar"/>
    <w:uiPriority w:val="99"/>
    <w:semiHidden/>
    <w:unhideWhenUsed/>
    <w:rsid w:val="003E496D"/>
    <w:rPr>
      <w:b/>
      <w:bCs/>
    </w:rPr>
  </w:style>
  <w:style w:type="character" w:customStyle="1" w:styleId="CommentSubjectChar">
    <w:name w:val="Comment Subject Char"/>
    <w:basedOn w:val="CommentTextChar"/>
    <w:link w:val="CommentSubject"/>
    <w:uiPriority w:val="99"/>
    <w:semiHidden/>
    <w:rsid w:val="003E496D"/>
    <w:rPr>
      <w:b/>
      <w:bCs/>
      <w:sz w:val="20"/>
      <w:szCs w:val="20"/>
    </w:rPr>
  </w:style>
  <w:style w:type="paragraph" w:styleId="FootnoteText">
    <w:name w:val="footnote text"/>
    <w:basedOn w:val="Normal"/>
    <w:link w:val="FootnoteTextChar"/>
    <w:uiPriority w:val="99"/>
    <w:unhideWhenUsed/>
    <w:rsid w:val="00983FCF"/>
    <w:rPr>
      <w:sz w:val="20"/>
      <w:szCs w:val="20"/>
    </w:rPr>
  </w:style>
  <w:style w:type="character" w:customStyle="1" w:styleId="FootnoteTextChar">
    <w:name w:val="Footnote Text Char"/>
    <w:basedOn w:val="DefaultParagraphFont"/>
    <w:link w:val="FootnoteText"/>
    <w:uiPriority w:val="99"/>
    <w:rsid w:val="00983FCF"/>
    <w:rPr>
      <w:sz w:val="20"/>
      <w:szCs w:val="20"/>
    </w:rPr>
  </w:style>
  <w:style w:type="character" w:styleId="FootnoteReference">
    <w:name w:val="footnote reference"/>
    <w:basedOn w:val="DefaultParagraphFont"/>
    <w:uiPriority w:val="99"/>
    <w:semiHidden/>
    <w:unhideWhenUsed/>
    <w:rsid w:val="00983FCF"/>
    <w:rPr>
      <w:vertAlign w:val="superscript"/>
    </w:rPr>
  </w:style>
  <w:style w:type="character" w:styleId="Hyperlink">
    <w:name w:val="Hyperlink"/>
    <w:basedOn w:val="DefaultParagraphFont"/>
    <w:uiPriority w:val="99"/>
    <w:unhideWhenUsed/>
    <w:rsid w:val="004013CB"/>
    <w:rPr>
      <w:color w:val="0563C1" w:themeColor="hyperlink"/>
      <w:u w:val="single"/>
    </w:rPr>
  </w:style>
  <w:style w:type="character" w:styleId="UnresolvedMention">
    <w:name w:val="Unresolved Mention"/>
    <w:basedOn w:val="DefaultParagraphFont"/>
    <w:uiPriority w:val="99"/>
    <w:semiHidden/>
    <w:unhideWhenUsed/>
    <w:rsid w:val="004013CB"/>
    <w:rPr>
      <w:color w:val="605E5C"/>
      <w:shd w:val="clear" w:color="auto" w:fill="E1DFDD"/>
    </w:rPr>
  </w:style>
  <w:style w:type="character" w:styleId="FollowedHyperlink">
    <w:name w:val="FollowedHyperlink"/>
    <w:basedOn w:val="DefaultParagraphFont"/>
    <w:uiPriority w:val="99"/>
    <w:semiHidden/>
    <w:unhideWhenUsed/>
    <w:rsid w:val="004013CB"/>
    <w:rPr>
      <w:color w:val="954F72" w:themeColor="followedHyperlink"/>
      <w:u w:val="single"/>
    </w:rPr>
  </w:style>
  <w:style w:type="table" w:styleId="TableGrid">
    <w:name w:val="Table Grid"/>
    <w:basedOn w:val="TableNormal"/>
    <w:uiPriority w:val="39"/>
    <w:rsid w:val="004013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013CB"/>
    <w:pPr>
      <w:tabs>
        <w:tab w:val="center" w:pos="4513"/>
        <w:tab w:val="right" w:pos="9026"/>
      </w:tabs>
    </w:pPr>
  </w:style>
  <w:style w:type="character" w:customStyle="1" w:styleId="HeaderChar">
    <w:name w:val="Header Char"/>
    <w:basedOn w:val="DefaultParagraphFont"/>
    <w:link w:val="Header"/>
    <w:uiPriority w:val="99"/>
    <w:rsid w:val="004013CB"/>
  </w:style>
  <w:style w:type="paragraph" w:styleId="Footer">
    <w:name w:val="footer"/>
    <w:basedOn w:val="Normal"/>
    <w:link w:val="FooterChar"/>
    <w:uiPriority w:val="99"/>
    <w:unhideWhenUsed/>
    <w:rsid w:val="004013CB"/>
    <w:pPr>
      <w:tabs>
        <w:tab w:val="center" w:pos="4513"/>
        <w:tab w:val="right" w:pos="9026"/>
      </w:tabs>
    </w:pPr>
  </w:style>
  <w:style w:type="character" w:customStyle="1" w:styleId="FooterChar">
    <w:name w:val="Footer Char"/>
    <w:basedOn w:val="DefaultParagraphFont"/>
    <w:link w:val="Footer"/>
    <w:uiPriority w:val="99"/>
    <w:rsid w:val="004013CB"/>
  </w:style>
  <w:style w:type="paragraph" w:styleId="BalloonText">
    <w:name w:val="Balloon Text"/>
    <w:basedOn w:val="Normal"/>
    <w:link w:val="BalloonTextChar"/>
    <w:uiPriority w:val="99"/>
    <w:semiHidden/>
    <w:unhideWhenUsed/>
    <w:rsid w:val="009663E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663EC"/>
    <w:rPr>
      <w:rFonts w:ascii="Times New Roman" w:hAnsi="Times New Roman" w:cs="Times New Roman"/>
      <w:sz w:val="18"/>
      <w:szCs w:val="18"/>
    </w:rPr>
  </w:style>
  <w:style w:type="character" w:customStyle="1" w:styleId="Heading1Char">
    <w:name w:val="Heading 1 Char"/>
    <w:basedOn w:val="DefaultParagraphFont"/>
    <w:link w:val="Heading1"/>
    <w:uiPriority w:val="9"/>
    <w:rsid w:val="00360D8E"/>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360D8E"/>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360D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048436">
      <w:bodyDiv w:val="1"/>
      <w:marLeft w:val="0"/>
      <w:marRight w:val="0"/>
      <w:marTop w:val="0"/>
      <w:marBottom w:val="0"/>
      <w:divBdr>
        <w:top w:val="none" w:sz="0" w:space="0" w:color="auto"/>
        <w:left w:val="none" w:sz="0" w:space="0" w:color="auto"/>
        <w:bottom w:val="none" w:sz="0" w:space="0" w:color="auto"/>
        <w:right w:val="none" w:sz="0" w:space="0" w:color="auto"/>
      </w:divBdr>
    </w:div>
    <w:div w:id="561601408">
      <w:bodyDiv w:val="1"/>
      <w:marLeft w:val="0"/>
      <w:marRight w:val="0"/>
      <w:marTop w:val="0"/>
      <w:marBottom w:val="0"/>
      <w:divBdr>
        <w:top w:val="none" w:sz="0" w:space="0" w:color="auto"/>
        <w:left w:val="none" w:sz="0" w:space="0" w:color="auto"/>
        <w:bottom w:val="none" w:sz="0" w:space="0" w:color="auto"/>
        <w:right w:val="none" w:sz="0" w:space="0" w:color="auto"/>
      </w:divBdr>
    </w:div>
    <w:div w:id="605387671">
      <w:bodyDiv w:val="1"/>
      <w:marLeft w:val="0"/>
      <w:marRight w:val="0"/>
      <w:marTop w:val="0"/>
      <w:marBottom w:val="0"/>
      <w:divBdr>
        <w:top w:val="none" w:sz="0" w:space="0" w:color="auto"/>
        <w:left w:val="none" w:sz="0" w:space="0" w:color="auto"/>
        <w:bottom w:val="none" w:sz="0" w:space="0" w:color="auto"/>
        <w:right w:val="none" w:sz="0" w:space="0" w:color="auto"/>
      </w:divBdr>
    </w:div>
    <w:div w:id="700010609">
      <w:bodyDiv w:val="1"/>
      <w:marLeft w:val="0"/>
      <w:marRight w:val="0"/>
      <w:marTop w:val="0"/>
      <w:marBottom w:val="0"/>
      <w:divBdr>
        <w:top w:val="none" w:sz="0" w:space="0" w:color="auto"/>
        <w:left w:val="none" w:sz="0" w:space="0" w:color="auto"/>
        <w:bottom w:val="none" w:sz="0" w:space="0" w:color="auto"/>
        <w:right w:val="none" w:sz="0" w:space="0" w:color="auto"/>
      </w:divBdr>
    </w:div>
    <w:div w:id="847060313">
      <w:bodyDiv w:val="1"/>
      <w:marLeft w:val="0"/>
      <w:marRight w:val="0"/>
      <w:marTop w:val="0"/>
      <w:marBottom w:val="0"/>
      <w:divBdr>
        <w:top w:val="none" w:sz="0" w:space="0" w:color="auto"/>
        <w:left w:val="none" w:sz="0" w:space="0" w:color="auto"/>
        <w:bottom w:val="none" w:sz="0" w:space="0" w:color="auto"/>
        <w:right w:val="none" w:sz="0" w:space="0" w:color="auto"/>
      </w:divBdr>
    </w:div>
    <w:div w:id="955136941">
      <w:bodyDiv w:val="1"/>
      <w:marLeft w:val="0"/>
      <w:marRight w:val="0"/>
      <w:marTop w:val="0"/>
      <w:marBottom w:val="0"/>
      <w:divBdr>
        <w:top w:val="none" w:sz="0" w:space="0" w:color="auto"/>
        <w:left w:val="none" w:sz="0" w:space="0" w:color="auto"/>
        <w:bottom w:val="none" w:sz="0" w:space="0" w:color="auto"/>
        <w:right w:val="none" w:sz="0" w:space="0" w:color="auto"/>
      </w:divBdr>
    </w:div>
    <w:div w:id="1072507675">
      <w:bodyDiv w:val="1"/>
      <w:marLeft w:val="0"/>
      <w:marRight w:val="0"/>
      <w:marTop w:val="0"/>
      <w:marBottom w:val="0"/>
      <w:divBdr>
        <w:top w:val="none" w:sz="0" w:space="0" w:color="auto"/>
        <w:left w:val="none" w:sz="0" w:space="0" w:color="auto"/>
        <w:bottom w:val="none" w:sz="0" w:space="0" w:color="auto"/>
        <w:right w:val="none" w:sz="0" w:space="0" w:color="auto"/>
      </w:divBdr>
    </w:div>
    <w:div w:id="1611859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kate.roberts@labourexploitation.org"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2</Pages>
  <Words>796</Words>
  <Characters>4539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Wieltschnig</dc:creator>
  <cp:keywords/>
  <dc:description/>
  <cp:lastModifiedBy>Kate Roberts</cp:lastModifiedBy>
  <cp:revision>14</cp:revision>
  <dcterms:created xsi:type="dcterms:W3CDTF">2024-03-12T19:31:00Z</dcterms:created>
  <dcterms:modified xsi:type="dcterms:W3CDTF">2024-03-19T16:04:00Z</dcterms:modified>
</cp:coreProperties>
</file>